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65 vom 4. Januar 2017</w:t>
      </w:r>
    </w:p>
    <w:p>
      <w:r>
        <w:t>GR Gerichte, 2017-01-04, DE</w:t>
      </w:r>
    </w:p>
    <w:p>
      <w:r>
        <w:rPr>
          <w:b/>
        </w:rPr>
        <w:t xml:space="preserve">Quelle: </w:t>
      </w:r>
      <w:r>
        <w:t>https://mcp.opencaselaw.ch/entscheid/gr_gerichte_KSK 2016 65</w:t>
      </w:r>
    </w:p>
    <w:p>
      <w:r>
        <w:t>FR: GR_GERICHTE KSK 2016 65 du 4 janvier 2017</w:t>
      </w:r>
    </w:p>
    <w:p>
      <w:r>
        <w:t>IT: GR_GERICHTE KSK 2016 65 del 4 gennaio 2017</w:t>
      </w:r>
    </w:p>
    <w:p>
      <w:pPr>
        <w:pStyle w:val="Heading2"/>
      </w:pPr>
      <w:r>
        <w:t>Regeste</w:t>
      </w:r>
    </w:p>
    <w:p>
      <w:r>
        <w:t>Festlegung der Entschädigung der ausseramtlichen Konkursverwaltung | Aufsicht Direktes Gesuch</w:t>
      </w:r>
    </w:p>
    <w:p>
      <w:pPr>
        <w:pStyle w:val="Heading2"/>
      </w:pPr>
      <w:r>
        <w:t>Erwägungen</w:t>
      </w:r>
    </w:p>
    <w:p>
      <w:r>
        <w:rPr>
          <w:b/>
        </w:rPr>
        <w:t>E. 1</w:t>
      </w:r>
    </w:p>
    <w:p>
      <w:r>
        <w:t>Die Art. 43 bis 47 der Gebührenverordnung zum Bundesgesetz über Schuldbetreibung und Konkurs (GebV SchKG; SR 281.35) setzen die im Konkurs- verfahren zu berechnenden Gebühren fest. Diese Bestimmungen sind zwingend und gelten auch für die ausseramtliche Konkursverwaltung.</w:t>
      </w:r>
    </w:p>
    <w:p>
      <w:r>
        <w:rPr>
          <w:b/>
        </w:rPr>
        <w:t>E. 2</w:t>
      </w:r>
    </w:p>
    <w:p>
      <w:r>
        <w:t>Gemäss Art. 47 Abs. 1 GebV SchKG in Verbindung mit Art. 13 des Ein- führungsgesetzes zum Bundesgesetz über Schuldbetreibung und Konkurs (EGzSchKG; BR 220.000) setzt das Kantonsgericht von Graubünden als Auf- sichtsbehörde über Schuldbetreibung und Konkurs für anspruchsvolle Verfahren, die besondere Abklärungen des Sachverhalts oder von Rechtsfragen erfordern, das Entgelt für die amtliche und die ausseramtliche Konkursverwaltung fest. Dabei berücksichtigt es namentlich die Schwierigkeit und die Bedeutung der Sache, den Umfang der Bemühungen sowie den Zeitaufwand. Der Aufsichtsbehörde steht dabei ein weiter Ermessensspielraum zu. Zu beachten hat sie, dass die GebV SchKG auf sozialen Überlegungen beruht und dass nicht unbegrenzt hohe Forde-</w:t>
      </w:r>
    </w:p>
    <w:p>
      <w:r>
        <w:t>Seite 4 — 7 rungen der Konkursmasse belastet werden dürfen (BGE 138 III 443 E. 2.1.2 S. 445; 108 III 68 E. 2 S. 69 f.). Im Entscheid der Schuldbetreibungs- und Konkurskammer vom 11. Juli 2014 wur- de aufgrund der Akten festgestellt, dass die Verhältnisse der konkursiten Firma kompliziert sind und die Notwendigkeit besonderer Sachverhalts- oder Rechtsab- klärungen hinreichend belegt wurde (E. 2). Das Konkursamt der Region Engiadina Bassa/Val Müstair hob im Schreiben vom 7. November 2016 (act. 04) zudem na- mentlich das schwierige Verhältnis mit A._____, dem ehemaligen Geschäftsführer der Z._____, über welchen auch privat das Konkursverfahren eröffnet wurde und welcher das Geschäftsvermögen mit seinem Privatvermögen vermischt haben soll, hervor. Zudem soll er sich immer wieder eingemischt und zum Teil Aktiven verkauft haben, wozu er gar nicht mehr berechtigt gewesen sei; ebenso soll er Aktiven beschädigt haben, damit diese nicht mehr hätten verkauft werden können. Diesen Schilderungen lässt sich entnehmen, dass die Abwicklung des Konkurs- verfahrens in erster Linie aufgrund des Verhaltens von A._____ recht mühsam und enorm zeitaufwändig war, sich in fachlicher Hinsicht aber wohl nicht als be- sonders komplex präsentierte. Die ausgewiesenen Schwierigkeiten im Umgang mit dem ehemaligen Geschäftsführer der konkursiten Firma und dessen mannig- fache Einmischungen in die Abwicklung des Konkursverfahrens sowie die sich zwangsläufig daraus ergebenden Abklärungen rechtlicher Natur führten bei der Konkursverwaltung unvermeidlicherweise zu einem erheblichen Mehraufwand. Angesichts dessen ist kein Grund ersichtlich, den zeitlichen Aufwand gemäss Ho- norarvorschlag der Y._____ anzuzweifeln.</w:t>
      </w:r>
    </w:p>
    <w:p>
      <w:r>
        <w:rPr>
          <w:b/>
        </w:rPr>
        <w:t>E. 3</w:t>
      </w:r>
    </w:p>
    <w:p>
      <w:r>
        <w:t>Art. 47 GebV SchKG schreibt für die anspruchsvollen Verfahren keine be- stimmte Methode zur Berechnung des Entgelts der amtlichen oder ausseramtli- chen Konkursverwaltung vor. Die mit der Festlegung des Entgelts beauftragte Aufsichtsbehörde kann Tarifordnungen, wie zum Beispiel diejenige der Treuhand- kammer, berücksichtigen, sie ist jedoch nicht an diese Tarife gebunden. Die zuge- sprochene Entschädigung muss aber, wie erwähnt, in jedem Fall in einem ver- nünftigen Verhältnis zum Gebührentarif des SchKG stehen, wobei auch dessen sozialer Charakter zu beachten ist. Entsprechend rechtfertigt es sich nach der bundesgerichtlichen Rechtsprechung, für die anwaltliche Tätigkeit unter dem ma- ximal zulässigen Ansatz des vom kantonalen Anwaltsverband festgesetzten Tarifs zu bleiben (BGE 130 III 611 E. 3.1 S. 616 = Pra 2005 Nr. 66; vgl. auch BGE 120 III 97 E. 2 S. 100). Daraus folgt, dass die Stundenansätze für die in Rechnung ge- stellten Arbeiten nicht an der oberen Tarifskala liegen dürfen, sondern vielmehr ein mittlerer Ansatz gerechtfertigt ist. In Anbetracht dessen, dass die Y._____ der Auf-</w:t>
      </w:r>
    </w:p>
    <w:p>
      <w:r>
        <w:t>Seite 5 — 7 forderung zur Einreichung einer Auflistung der für die entsprechende Branche üb- lichen Stundensätze keine Folge leistete, ist im vorliegenden Fall von der im Inter- net abrufbaren Honorarempfehlung der Treuhand-Kammer vom 18. November 2002 auszugehen (http://www.karoka.ch/Downloads/Honorarempfeh- lung_Treuhandkammer.pdf) und zwar unter Anwendung des Honoraransatzes A (vgl. Entscheid des Kantonsgerichts von Graubünden SKA 03 36 vom 29. Sep- tember 2009). Gerechtfertigt sind somit die folgenden Stundenansätze: AN B._____ F5 Fr. 90.-- (nur untergeordnete Tätigkeiten) ANF C._____ F3 Fr. 160.-- AR X._____ F1 Fr. 250.-- BA D._____ Fr. 240.-- (mittlerer Ansatz gemäss Honorarverordnung) CAS E._____ (nur Spesen) DC F._____ (nur ein Telefonat) FAG G._____ F5 Fr. 100.-- GAC H._____ Lernende Fr. 24.-- HE I._____ F3 Fr. 160.-- KEP J._____ F5 Fr. 100.-- MAS K._____ F4 Fr. 120.-- RI L._____ F3 Fr. 160.-- RIA M._____ Lernender Fr. 32.--/42.-- SCA N._____ F5 Fr. 100.-- TOR O._____ F4 Fr. 120.-- Bei der Festsetzung der einzelnen Stundenansätze wurden die Ausbildung des Mitarbeiters bzw. der Mitarbeiterin, die Art der Arbeitsleistungen und die Häufigkeit des Einsatzes bzw. die hierfür notwendige Vertiefung in die Materie berücksichtigt. Weiter gilt zu beachten, dass sich die jeweiligen Stundenansätze nicht zu weit von jenen gemäss Gebührentarif entfernen (vgl. Art. 43 ff. GebV SchKG). Festzuhalten ist in diesem Zusammenhang, dass die gewählten Stundenansätze auch ohne Aufrechnung einer Teuerung seit deren Erlass als angemessen erscheinen, was ein Quervergleich mit den Stundenansätzen für Rechtsanwälte gemäss Honorar- verordnung – die im Übrigen seit vielen Jahren unverändert sind – bestätigt. Die entsprechende Berechnung präsentiert sich demnach wie folgt:</w:t>
      </w:r>
    </w:p>
    <w:p>
      <w:r>
        <w:t>Seite 6 — 7 Stundenansatz Total Std. 2014-2016 Spesen Total Fr. AN Fr. 90.--</w:t>
      </w:r>
    </w:p>
    <w:p>
      <w:r>
        <w:rPr>
          <w:b/>
        </w:rPr>
        <w:t>E. 7</w:t>
      </w:r>
    </w:p>
    <w:p>
      <w:r>
        <w:t>Fr. 722.70 Fr. 1'352.70 ANF Fr. 160.-- 201.75 --- Fr. 32'280.-- AR Fr. 250.-- 65.4 Fr. 384.-- Fr. 16'734.-- BA Fr. 240.-- 6 --- Fr. 1'440.-- CAS --- --- Fr. 166.75 Fr. 166.75 DC --- 0.08 --- Fr. 12.50 FAG Fr. 100.-- 0.75 --- Fr. 75.-- GAC Fr. 24.-- 5.75 --- Fr. 138.-- HE Fr. 160.-- 0.5 --- Fr. 80.-- KEP Fr. 100.-- 1.75 --- Fr. 175.-- MAS Fr. 120.-- 154.49 --- Fr. 18'538.80 RI Fr. 160.-- 5 --- Fr. 800.-- RIA Fr. 32.--/42.-- 4 --- Fr. 138.00 SCA Fr. 100.-- 11.5 --- Fr. 1'150.-- TOR Fr. 120.-- 359.25 Fr. 176.-- Fr. 43'286.-- Fr. 116'366.75 Gestützt auf die vorangegangene Berechnung wird die Entschädigung der aus- seramtlichen Konkursverwaltung im vorliegenden Konkursverfahren der Z._____ auf pauschal Fr. 120'000.-- zuzüglich 8% Mehrwertsteuer, insgesamt somit auf Fr. 129'600.--, festgelegt. 4. Die Verfahrenskosten von Fr. 800.-- verbleiben praxisgemäss beim Kanton Graubünden.</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